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50" w:rsidRDefault="00267850" w:rsidP="00267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Pr="00267850">
        <w:rPr>
          <w:rFonts w:ascii="Times New Roman" w:hAnsi="Times New Roman" w:cs="Times New Roman"/>
          <w:sz w:val="28"/>
          <w:szCs w:val="28"/>
        </w:rPr>
        <w:t>социального проекта "Трамплин для НКО: перспективы некоммерческих организаций на рынке социальных услуг Марий Эл"</w:t>
      </w:r>
    </w:p>
    <w:p w:rsidR="00267850" w:rsidRDefault="00267850" w:rsidP="00267850">
      <w:pPr>
        <w:spacing w:after="0" w:line="240" w:lineRule="auto"/>
        <w:ind w:firstLine="709"/>
        <w:jc w:val="both"/>
        <w:rPr>
          <w:rFonts w:ascii="Times New Roman" w:hAnsi="Times New Roman" w:cs="Times New Roman"/>
          <w:sz w:val="28"/>
          <w:szCs w:val="28"/>
        </w:rPr>
      </w:pPr>
    </w:p>
    <w:p w:rsidR="00267850" w:rsidRPr="00267850" w:rsidRDefault="00267850" w:rsidP="00267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67850">
        <w:rPr>
          <w:rFonts w:ascii="Times New Roman" w:hAnsi="Times New Roman" w:cs="Times New Roman"/>
          <w:sz w:val="28"/>
          <w:szCs w:val="28"/>
        </w:rPr>
        <w:t xml:space="preserve"> июля 2019 г. командой РБОО "Добрая Республика Марий Эл" проводилась работа по реализации первого этапа социального проекта "Трамплин для НКО: перспективы некоммерческих организаций на рынке социальных услуг Марий Эл".</w:t>
      </w:r>
    </w:p>
    <w:p w:rsidR="00267850" w:rsidRPr="00267850" w:rsidRDefault="00267850" w:rsidP="00267850">
      <w:pPr>
        <w:spacing w:after="0" w:line="240" w:lineRule="auto"/>
        <w:ind w:firstLine="709"/>
        <w:jc w:val="both"/>
        <w:rPr>
          <w:rFonts w:ascii="Times New Roman" w:hAnsi="Times New Roman" w:cs="Times New Roman"/>
          <w:sz w:val="28"/>
          <w:szCs w:val="28"/>
        </w:rPr>
      </w:pPr>
      <w:proofErr w:type="gramStart"/>
      <w:r w:rsidRPr="00267850">
        <w:rPr>
          <w:rFonts w:ascii="Times New Roman" w:hAnsi="Times New Roman" w:cs="Times New Roman"/>
          <w:sz w:val="28"/>
          <w:szCs w:val="28"/>
        </w:rPr>
        <w:t>Особенностью первого этапа проекта является глубинное изучение некоммерческого сектора Республики Марий Эл (чего не делалось как минимум в течение последних 10 лет), "погружение" некоммерческих организаций в тему предоставления социальных услуг - как возможности для их институционального и профессионального развития, а также повышение компетентности сотрудников региональных НКО в вопросах предоставления услуг в социальной сфере.</w:t>
      </w:r>
      <w:proofErr w:type="gramEnd"/>
    </w:p>
    <w:p w:rsidR="00267850" w:rsidRPr="00267850"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t xml:space="preserve">В данный период проводилось широкое информирование некоммерческого сектора, а также органов власти о реализуемом проекте, его целях и задачах, а также ожидаемых результатах. </w:t>
      </w:r>
      <w:proofErr w:type="gramStart"/>
      <w:r w:rsidRPr="00267850">
        <w:rPr>
          <w:rFonts w:ascii="Times New Roman" w:hAnsi="Times New Roman" w:cs="Times New Roman"/>
          <w:sz w:val="28"/>
          <w:szCs w:val="28"/>
        </w:rPr>
        <w:t>В начале реализации проекта подготовлены и направлены в адрес органов государственной власти Республики Марий Эл социального блока (региональные министерства социального развития; образования и науки; здравоохранения; молодежной политики, спорта и туризма; культуры, печати и по делам национальностей) информационные письма о планируемом к реализации проекте в целях организации взаимодействия с данными органами власти, а также их поддержки в ходе реализации проекта.</w:t>
      </w:r>
      <w:proofErr w:type="gramEnd"/>
    </w:p>
    <w:p w:rsidR="00267850" w:rsidRPr="00267850"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t>В этот период на сайте РБОО «Добрая Республика Марий Эл» создан раздел «Социальные услуги НКО», на котором размещена актуальная информация для некоммерческих организаций, планирующих становиться поставщиками услуг в социальной сфере. Кроме того, информация о мероприятиях проекта также размещается на сайте организации.</w:t>
      </w:r>
    </w:p>
    <w:p w:rsidR="00267850" w:rsidRPr="00267850"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t>На сайте СО НКО Марий Эл, работающем на официальном портале республики, размещена ссылка на созданный раздел «Социальные услуги НКО».</w:t>
      </w:r>
    </w:p>
    <w:p w:rsidR="00267850" w:rsidRPr="00267850"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t xml:space="preserve">В сентябре 2019 г. проведен круглый стол «НКО как поставщики социальных услуг: реальность и перспективы». Участие </w:t>
      </w:r>
      <w:proofErr w:type="gramStart"/>
      <w:r w:rsidRPr="00267850">
        <w:rPr>
          <w:rFonts w:ascii="Times New Roman" w:hAnsi="Times New Roman" w:cs="Times New Roman"/>
          <w:sz w:val="28"/>
          <w:szCs w:val="28"/>
        </w:rPr>
        <w:t>в</w:t>
      </w:r>
      <w:proofErr w:type="gramEnd"/>
      <w:r w:rsidRPr="00267850">
        <w:rPr>
          <w:rFonts w:ascii="Times New Roman" w:hAnsi="Times New Roman" w:cs="Times New Roman"/>
          <w:sz w:val="28"/>
          <w:szCs w:val="28"/>
        </w:rPr>
        <w:t xml:space="preserve"> котором приняли представители НКО (как уже являющихся поставщиками услуг, так и планирующих ими стать, а также все заинтересованные данной темой НКО) и органов власти. </w:t>
      </w:r>
      <w:proofErr w:type="gramStart"/>
      <w:r w:rsidRPr="00267850">
        <w:rPr>
          <w:rFonts w:ascii="Times New Roman" w:hAnsi="Times New Roman" w:cs="Times New Roman"/>
          <w:sz w:val="28"/>
          <w:szCs w:val="28"/>
        </w:rPr>
        <w:t>Координатором деятельности органов власти по привлечению НКО в сферу оказания услуг - Министерством социального развития были озвучены основные итоги работы региональных министерств по привлечению в сферу оказания услуг негосударственных поставщиков за прошлый год, представители министерства образования и науки, здравоохранения, культуры, печати и по делам национальностей, молодежной политики, спорта и туризма и социального развития рассказали об основных результатах отраслевой работы в данном</w:t>
      </w:r>
      <w:proofErr w:type="gramEnd"/>
      <w:r w:rsidRPr="00267850">
        <w:rPr>
          <w:rFonts w:ascii="Times New Roman" w:hAnsi="Times New Roman" w:cs="Times New Roman"/>
          <w:sz w:val="28"/>
          <w:szCs w:val="28"/>
        </w:rPr>
        <w:t xml:space="preserve"> </w:t>
      </w:r>
      <w:proofErr w:type="gramStart"/>
      <w:r w:rsidRPr="00267850">
        <w:rPr>
          <w:rFonts w:ascii="Times New Roman" w:hAnsi="Times New Roman" w:cs="Times New Roman"/>
          <w:sz w:val="28"/>
          <w:szCs w:val="28"/>
        </w:rPr>
        <w:t>направлении</w:t>
      </w:r>
      <w:proofErr w:type="gramEnd"/>
      <w:r w:rsidRPr="00267850">
        <w:rPr>
          <w:rFonts w:ascii="Times New Roman" w:hAnsi="Times New Roman" w:cs="Times New Roman"/>
          <w:sz w:val="28"/>
          <w:szCs w:val="28"/>
        </w:rPr>
        <w:t xml:space="preserve"> в текущем году и поделились планами на будущее. Представители РБОО </w:t>
      </w:r>
      <w:r w:rsidRPr="00267850">
        <w:rPr>
          <w:rFonts w:ascii="Times New Roman" w:hAnsi="Times New Roman" w:cs="Times New Roman"/>
          <w:sz w:val="28"/>
          <w:szCs w:val="28"/>
        </w:rPr>
        <w:lastRenderedPageBreak/>
        <w:t xml:space="preserve">«Добрая Республика Марий Эл» познакомили участников «круглого стола» с проектом, </w:t>
      </w:r>
      <w:proofErr w:type="gramStart"/>
      <w:r w:rsidRPr="00267850">
        <w:rPr>
          <w:rFonts w:ascii="Times New Roman" w:hAnsi="Times New Roman" w:cs="Times New Roman"/>
          <w:sz w:val="28"/>
          <w:szCs w:val="28"/>
        </w:rPr>
        <w:t>рассказали об основных его мероприятиях и пригласили</w:t>
      </w:r>
      <w:proofErr w:type="gramEnd"/>
      <w:r w:rsidRPr="00267850">
        <w:rPr>
          <w:rFonts w:ascii="Times New Roman" w:hAnsi="Times New Roman" w:cs="Times New Roman"/>
          <w:sz w:val="28"/>
          <w:szCs w:val="28"/>
        </w:rPr>
        <w:t xml:space="preserve"> собравшихся активно поучаствовать в мероприятиях проекта для повышения знаний по вопросу разгосударствления рынка социальных услуг и основных тенденциях по привлечению НКО сферу профессионального оказания услуг.</w:t>
      </w:r>
    </w:p>
    <w:p w:rsidR="00267850" w:rsidRPr="00267850"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t xml:space="preserve">Для понимания уровня заинтересованности НКО возможностью институционального и профессионального развития своих организаций, готовности </w:t>
      </w:r>
      <w:proofErr w:type="gramStart"/>
      <w:r w:rsidRPr="00267850">
        <w:rPr>
          <w:rFonts w:ascii="Times New Roman" w:hAnsi="Times New Roman" w:cs="Times New Roman"/>
          <w:sz w:val="28"/>
          <w:szCs w:val="28"/>
        </w:rPr>
        <w:t>становиться негосударственными поставщиками в рамках проекта было проведено</w:t>
      </w:r>
      <w:proofErr w:type="gramEnd"/>
      <w:r w:rsidRPr="00267850">
        <w:rPr>
          <w:rFonts w:ascii="Times New Roman" w:hAnsi="Times New Roman" w:cs="Times New Roman"/>
          <w:sz w:val="28"/>
          <w:szCs w:val="28"/>
        </w:rPr>
        <w:t xml:space="preserve"> социологическое исследование некоммерческих организаций «Перспективы НКО Марий Эл как поставщиков социальных услуг». Анкетирование НКО проводилось по авторской методике, разработанной командой проекта. Анкета включала 26 вопросов, которые разделены на 3 блока. Первый блок вопросов посвящен изучению специфики деятельности некоммерческих организаций Республики Марий Эл (8 вопросов). Второй блок вопросов направлен на исследование осведомленности некоммерческих организаций Республики Марий Эл о возможности участия в предоставлении социальных услуг в качестве негосударственных поставщиков (4 вопроса). Третий блок вопросов освещает готовность некоммерческих организаций Республики Марий Эл стать поставщиками социальных услуг (14 вопросов). Анкетный опрос проводился анонимно. Респонденты должны были ответить на все вопросы анкеты, выбрав один или несколько вариантов ответа, на отдельные вопросы респонденты могли предложить свой вариант ответа. Участие в </w:t>
      </w:r>
      <w:proofErr w:type="gramStart"/>
      <w:r w:rsidRPr="00267850">
        <w:rPr>
          <w:rFonts w:ascii="Times New Roman" w:hAnsi="Times New Roman" w:cs="Times New Roman"/>
          <w:sz w:val="28"/>
          <w:szCs w:val="28"/>
        </w:rPr>
        <w:t>исследовании</w:t>
      </w:r>
      <w:proofErr w:type="gramEnd"/>
      <w:r w:rsidRPr="00267850">
        <w:rPr>
          <w:rFonts w:ascii="Times New Roman" w:hAnsi="Times New Roman" w:cs="Times New Roman"/>
          <w:sz w:val="28"/>
          <w:szCs w:val="28"/>
        </w:rPr>
        <w:t xml:space="preserve"> приняли 400 НКО, работающих в республике. По результатам исследования подготовлена брошюра, содержащая итоги анкетирования НКО, а также предложения по повышению эффективности работы региональных министерств в направлении привлечения НКО на рынок оказания социальных услуг.</w:t>
      </w:r>
    </w:p>
    <w:p w:rsidR="00267850" w:rsidRPr="00267850" w:rsidRDefault="00267850" w:rsidP="00267850">
      <w:pPr>
        <w:spacing w:after="0" w:line="240" w:lineRule="auto"/>
        <w:ind w:firstLine="709"/>
        <w:jc w:val="both"/>
        <w:rPr>
          <w:rFonts w:ascii="Times New Roman" w:hAnsi="Times New Roman" w:cs="Times New Roman"/>
          <w:sz w:val="28"/>
          <w:szCs w:val="28"/>
        </w:rPr>
      </w:pPr>
      <w:proofErr w:type="gramStart"/>
      <w:r w:rsidRPr="00267850">
        <w:rPr>
          <w:rFonts w:ascii="Times New Roman" w:hAnsi="Times New Roman" w:cs="Times New Roman"/>
          <w:sz w:val="28"/>
          <w:szCs w:val="28"/>
        </w:rPr>
        <w:t>В течение 2019 г. проведены серия обучающих семинаров для повышения квалификации представителей НКО Марий Эл «Поставщики социальных услуг, их права и возможности в связи с новыми требованиями законодательства» и обучающие семинары для представителей республиканских министерств «социального блока» «Вопросы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w:t>
      </w:r>
      <w:proofErr w:type="gramEnd"/>
      <w:r w:rsidRPr="00267850">
        <w:rPr>
          <w:rFonts w:ascii="Times New Roman" w:hAnsi="Times New Roman" w:cs="Times New Roman"/>
          <w:sz w:val="28"/>
          <w:szCs w:val="28"/>
        </w:rPr>
        <w:t xml:space="preserve"> На семинарах подробно рассматривались вопросы оказания услуг в различных отраслях, даны понятия услуги, рассмотрены виды данных услуг, представлен алгоритм деятельности организации, планирующей стать поставщиков услуг, </w:t>
      </w:r>
      <w:proofErr w:type="gramStart"/>
      <w:r w:rsidRPr="00267850">
        <w:rPr>
          <w:rFonts w:ascii="Times New Roman" w:hAnsi="Times New Roman" w:cs="Times New Roman"/>
          <w:sz w:val="28"/>
          <w:szCs w:val="28"/>
        </w:rPr>
        <w:t>обобщены и представлены</w:t>
      </w:r>
      <w:proofErr w:type="gramEnd"/>
      <w:r w:rsidRPr="00267850">
        <w:rPr>
          <w:rFonts w:ascii="Times New Roman" w:hAnsi="Times New Roman" w:cs="Times New Roman"/>
          <w:sz w:val="28"/>
          <w:szCs w:val="28"/>
        </w:rPr>
        <w:t xml:space="preserve"> требования к поставщикам услуг.</w:t>
      </w:r>
    </w:p>
    <w:p w:rsidR="00267850" w:rsidRPr="00267850"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t xml:space="preserve">НКО на конкретных примерах в рамках </w:t>
      </w:r>
      <w:proofErr w:type="spellStart"/>
      <w:r w:rsidRPr="00267850">
        <w:rPr>
          <w:rFonts w:ascii="Times New Roman" w:hAnsi="Times New Roman" w:cs="Times New Roman"/>
          <w:sz w:val="28"/>
          <w:szCs w:val="28"/>
        </w:rPr>
        <w:t>тренинговых</w:t>
      </w:r>
      <w:proofErr w:type="spellEnd"/>
      <w:r w:rsidRPr="00267850">
        <w:rPr>
          <w:rFonts w:ascii="Times New Roman" w:hAnsi="Times New Roman" w:cs="Times New Roman"/>
          <w:sz w:val="28"/>
          <w:szCs w:val="28"/>
        </w:rPr>
        <w:t xml:space="preserve"> занятий и деловых игр "проиграли" процесс становления поставщиком услуг, "проработали" механизм взаимодействия с заказчиком услуг - органом власти, обучились технологиям поиска и привлечения потенциальных получателей услуг.</w:t>
      </w:r>
    </w:p>
    <w:p w:rsidR="00267850" w:rsidRPr="00267850"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lastRenderedPageBreak/>
        <w:t>Представители региональных органов власти и органов местного самоуправления познакомились с деятельностью некоммерческих организаций, получили новые знания в области поддержки НКО, изучили механизмы эффективного взаимодействия с НКО, повысили свои знания в области вовлечения НКО в сферу оказания социальных услуг.</w:t>
      </w:r>
    </w:p>
    <w:p w:rsidR="00267850" w:rsidRPr="00267850"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t xml:space="preserve">Командой проекта разработано методическое пособие - памятка как стать поставщиками социальных услуг («Некоммерческие организации Марий Эл – участники рынка социальных услуг»). Методическое пособие </w:t>
      </w:r>
      <w:proofErr w:type="gramStart"/>
      <w:r w:rsidRPr="00267850">
        <w:rPr>
          <w:rFonts w:ascii="Times New Roman" w:hAnsi="Times New Roman" w:cs="Times New Roman"/>
          <w:sz w:val="28"/>
          <w:szCs w:val="28"/>
        </w:rPr>
        <w:t>растиражировано и распространено</w:t>
      </w:r>
      <w:proofErr w:type="gramEnd"/>
      <w:r w:rsidRPr="00267850">
        <w:rPr>
          <w:rFonts w:ascii="Times New Roman" w:hAnsi="Times New Roman" w:cs="Times New Roman"/>
          <w:sz w:val="28"/>
          <w:szCs w:val="28"/>
        </w:rPr>
        <w:t xml:space="preserve"> среди некоммерческих организаций республики, в том числе при проведении обучающих мероприятий, также передано в региональные органы власти для дальнейшего использования в работе с НКО, планирующими становиться поставщиками услуг. Кроме того, методическое пособие в электронном </w:t>
      </w:r>
      <w:proofErr w:type="gramStart"/>
      <w:r w:rsidRPr="00267850">
        <w:rPr>
          <w:rFonts w:ascii="Times New Roman" w:hAnsi="Times New Roman" w:cs="Times New Roman"/>
          <w:sz w:val="28"/>
          <w:szCs w:val="28"/>
        </w:rPr>
        <w:t>виде</w:t>
      </w:r>
      <w:proofErr w:type="gramEnd"/>
      <w:r w:rsidRPr="00267850">
        <w:rPr>
          <w:rFonts w:ascii="Times New Roman" w:hAnsi="Times New Roman" w:cs="Times New Roman"/>
          <w:sz w:val="28"/>
          <w:szCs w:val="28"/>
        </w:rPr>
        <w:t xml:space="preserve"> размещено на сайте РБОО "Добрая Республика Марий Эл", в социальных сетях НКО, сайтах для НКО Марий Эл. Электронная версия</w:t>
      </w:r>
      <w:r>
        <w:rPr>
          <w:rFonts w:ascii="Times New Roman" w:hAnsi="Times New Roman" w:cs="Times New Roman"/>
          <w:sz w:val="28"/>
          <w:szCs w:val="28"/>
        </w:rPr>
        <w:t xml:space="preserve"> </w:t>
      </w:r>
      <w:r w:rsidRPr="00267850">
        <w:rPr>
          <w:rFonts w:ascii="Times New Roman" w:hAnsi="Times New Roman" w:cs="Times New Roman"/>
          <w:sz w:val="28"/>
          <w:szCs w:val="28"/>
        </w:rPr>
        <w:t>методического пособия разослана по базе электронных адресов региональных НКО.</w:t>
      </w:r>
    </w:p>
    <w:p w:rsidR="00267850" w:rsidRPr="00267850"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t>В ходе реализации первого этапа проекта проведено масштабное информирование НКО о новых трендах и возможностях для них, проведено обучение и подготовка к процессу становления поставщиками услуг.</w:t>
      </w:r>
    </w:p>
    <w:p w:rsidR="00F57E97" w:rsidRDefault="00267850" w:rsidP="00267850">
      <w:pPr>
        <w:spacing w:after="0" w:line="240" w:lineRule="auto"/>
        <w:ind w:firstLine="709"/>
        <w:jc w:val="both"/>
        <w:rPr>
          <w:rFonts w:ascii="Times New Roman" w:hAnsi="Times New Roman" w:cs="Times New Roman"/>
          <w:sz w:val="28"/>
          <w:szCs w:val="28"/>
        </w:rPr>
      </w:pPr>
      <w:r w:rsidRPr="00267850">
        <w:rPr>
          <w:rFonts w:ascii="Times New Roman" w:hAnsi="Times New Roman" w:cs="Times New Roman"/>
          <w:sz w:val="28"/>
          <w:szCs w:val="28"/>
        </w:rPr>
        <w:t xml:space="preserve">Сейчас мы готовимся ко второму этапу проекта, направленному на популяризацию деятельности негосударственных поставщиков услуг, знакомство населения Марий Эл с деятельностью НКО, реализацию системы наставничества и </w:t>
      </w:r>
      <w:proofErr w:type="spellStart"/>
      <w:r w:rsidRPr="00267850">
        <w:rPr>
          <w:rFonts w:ascii="Times New Roman" w:hAnsi="Times New Roman" w:cs="Times New Roman"/>
          <w:sz w:val="28"/>
          <w:szCs w:val="28"/>
        </w:rPr>
        <w:t>менторства</w:t>
      </w:r>
      <w:proofErr w:type="spellEnd"/>
      <w:r w:rsidRPr="00267850">
        <w:rPr>
          <w:rFonts w:ascii="Times New Roman" w:hAnsi="Times New Roman" w:cs="Times New Roman"/>
          <w:sz w:val="28"/>
          <w:szCs w:val="28"/>
        </w:rPr>
        <w:t xml:space="preserve"> над потенциальными поставщиками услуг в социальной сфере.</w:t>
      </w: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pPr>
    </w:p>
    <w:p w:rsidR="00267850" w:rsidRDefault="00267850" w:rsidP="00267850">
      <w:pPr>
        <w:spacing w:after="0" w:line="240" w:lineRule="auto"/>
        <w:ind w:firstLine="709"/>
        <w:jc w:val="both"/>
        <w:rPr>
          <w:rFonts w:ascii="Times New Roman" w:hAnsi="Times New Roman" w:cs="Times New Roman"/>
          <w:sz w:val="28"/>
          <w:szCs w:val="28"/>
        </w:rPr>
        <w:sectPr w:rsidR="00267850">
          <w:pgSz w:w="11906" w:h="16838"/>
          <w:pgMar w:top="1134" w:right="850" w:bottom="1134" w:left="1701" w:header="708" w:footer="708" w:gutter="0"/>
          <w:cols w:space="708"/>
          <w:docGrid w:linePitch="360"/>
        </w:sectPr>
      </w:pPr>
    </w:p>
    <w:p w:rsidR="00267850" w:rsidRDefault="00267850" w:rsidP="005A0AEC">
      <w:pPr>
        <w:spacing w:after="0" w:line="240" w:lineRule="auto"/>
        <w:ind w:firstLine="709"/>
        <w:jc w:val="center"/>
        <w:rPr>
          <w:rFonts w:ascii="Times New Roman" w:hAnsi="Times New Roman" w:cs="Times New Roman"/>
          <w:sz w:val="28"/>
          <w:szCs w:val="28"/>
        </w:rPr>
      </w:pPr>
      <w:bookmarkStart w:id="0" w:name="_GoBack"/>
      <w:bookmarkEnd w:id="0"/>
    </w:p>
    <w:p w:rsidR="00267850" w:rsidRPr="00267850" w:rsidRDefault="00267850" w:rsidP="00267850">
      <w:pPr>
        <w:spacing w:after="0" w:line="240" w:lineRule="auto"/>
        <w:ind w:firstLine="709"/>
        <w:jc w:val="both"/>
        <w:rPr>
          <w:rFonts w:ascii="Times New Roman" w:hAnsi="Times New Roman" w:cs="Times New Roman"/>
          <w:sz w:val="24"/>
          <w:szCs w:val="28"/>
        </w:rPr>
      </w:pPr>
    </w:p>
    <w:tbl>
      <w:tblPr>
        <w:tblW w:w="1457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78"/>
        <w:gridCol w:w="52"/>
        <w:gridCol w:w="2009"/>
        <w:gridCol w:w="80"/>
        <w:gridCol w:w="480"/>
        <w:gridCol w:w="7034"/>
        <w:gridCol w:w="50"/>
        <w:gridCol w:w="188"/>
      </w:tblGrid>
      <w:tr w:rsidR="00267850" w:rsidRPr="00267850" w:rsidTr="00267850">
        <w:trPr>
          <w:gridAfter w:val="2"/>
          <w:wAfter w:w="238" w:type="dxa"/>
          <w:tblHeader/>
        </w:trPr>
        <w:tc>
          <w:tcPr>
            <w:tcW w:w="4678" w:type="dxa"/>
            <w:tcBorders>
              <w:top w:val="nil"/>
              <w:left w:val="single" w:sz="6" w:space="0" w:color="DDDDDD"/>
              <w:bottom w:val="single" w:sz="12" w:space="0" w:color="DDDDDD"/>
              <w:right w:val="single" w:sz="6" w:space="0" w:color="DDDDDD"/>
            </w:tcBorders>
            <w:shd w:val="clear" w:color="auto" w:fill="FAEBD7"/>
            <w:tcMar>
              <w:top w:w="120" w:type="dxa"/>
              <w:left w:w="15" w:type="dxa"/>
              <w:bottom w:w="120" w:type="dxa"/>
              <w:right w:w="120" w:type="dxa"/>
            </w:tcMar>
            <w:hideMark/>
          </w:tcPr>
          <w:p w:rsidR="00267850" w:rsidRPr="00267850" w:rsidRDefault="00267850" w:rsidP="00267850">
            <w:pPr>
              <w:spacing w:after="0" w:line="240" w:lineRule="auto"/>
              <w:jc w:val="center"/>
              <w:rPr>
                <w:rFonts w:ascii="Times New Roman" w:eastAsia="Times New Roman" w:hAnsi="Times New Roman" w:cs="Times New Roman"/>
                <w:color w:val="3B3836"/>
                <w:sz w:val="24"/>
                <w:szCs w:val="28"/>
                <w:lang w:eastAsia="ru-RU"/>
              </w:rPr>
            </w:pPr>
            <w:r w:rsidRPr="00267850">
              <w:rPr>
                <w:rFonts w:ascii="Times New Roman" w:eastAsia="Times New Roman" w:hAnsi="Times New Roman" w:cs="Times New Roman"/>
                <w:color w:val="3B3836"/>
                <w:sz w:val="24"/>
                <w:szCs w:val="28"/>
                <w:lang w:eastAsia="ru-RU"/>
              </w:rPr>
              <w:t>Мероприятие</w:t>
            </w:r>
          </w:p>
        </w:tc>
        <w:tc>
          <w:tcPr>
            <w:tcW w:w="2061" w:type="dxa"/>
            <w:gridSpan w:val="2"/>
            <w:tcBorders>
              <w:top w:val="nil"/>
              <w:left w:val="single" w:sz="6" w:space="0" w:color="DDDDDD"/>
              <w:bottom w:val="single" w:sz="12" w:space="0" w:color="DDDDDD"/>
              <w:right w:val="single" w:sz="6" w:space="0" w:color="DDDDDD"/>
            </w:tcBorders>
            <w:shd w:val="clear" w:color="auto" w:fill="FAEBD7"/>
            <w:tcMar>
              <w:top w:w="120" w:type="dxa"/>
              <w:left w:w="15" w:type="dxa"/>
              <w:bottom w:w="120" w:type="dxa"/>
              <w:right w:w="120" w:type="dxa"/>
            </w:tcMar>
            <w:hideMark/>
          </w:tcPr>
          <w:p w:rsidR="00267850" w:rsidRPr="00267850" w:rsidRDefault="00267850" w:rsidP="00267850">
            <w:pPr>
              <w:spacing w:after="0" w:line="240" w:lineRule="auto"/>
              <w:rPr>
                <w:rFonts w:ascii="Times New Roman" w:eastAsia="Times New Roman" w:hAnsi="Times New Roman" w:cs="Times New Roman"/>
                <w:color w:val="3B3836"/>
                <w:sz w:val="24"/>
                <w:szCs w:val="28"/>
                <w:lang w:eastAsia="ru-RU"/>
              </w:rPr>
            </w:pPr>
            <w:r>
              <w:rPr>
                <w:rFonts w:ascii="Times New Roman" w:eastAsia="Times New Roman" w:hAnsi="Times New Roman" w:cs="Times New Roman"/>
                <w:color w:val="3B3836"/>
                <w:sz w:val="24"/>
                <w:szCs w:val="28"/>
                <w:lang w:eastAsia="ru-RU"/>
              </w:rPr>
              <w:t>С</w:t>
            </w:r>
            <w:r w:rsidRPr="00267850">
              <w:rPr>
                <w:rFonts w:ascii="Times New Roman" w:eastAsia="Times New Roman" w:hAnsi="Times New Roman" w:cs="Times New Roman"/>
                <w:color w:val="3B3836"/>
                <w:sz w:val="24"/>
                <w:szCs w:val="28"/>
                <w:lang w:eastAsia="ru-RU"/>
              </w:rPr>
              <w:t>роки проведения</w:t>
            </w:r>
          </w:p>
        </w:tc>
        <w:tc>
          <w:tcPr>
            <w:tcW w:w="7594" w:type="dxa"/>
            <w:gridSpan w:val="3"/>
            <w:tcBorders>
              <w:top w:val="nil"/>
              <w:left w:val="single" w:sz="6" w:space="0" w:color="DDDDDD"/>
              <w:bottom w:val="single" w:sz="12" w:space="0" w:color="DDDDDD"/>
              <w:right w:val="single" w:sz="6" w:space="0" w:color="DDDDDD"/>
            </w:tcBorders>
            <w:shd w:val="clear" w:color="auto" w:fill="FAEBD7"/>
            <w:tcMar>
              <w:top w:w="120" w:type="dxa"/>
              <w:left w:w="15" w:type="dxa"/>
              <w:bottom w:w="120" w:type="dxa"/>
              <w:right w:w="120" w:type="dxa"/>
            </w:tcMar>
            <w:hideMark/>
          </w:tcPr>
          <w:p w:rsidR="00267850" w:rsidRPr="00267850" w:rsidRDefault="00267850" w:rsidP="00267850">
            <w:pPr>
              <w:spacing w:after="0" w:line="240" w:lineRule="auto"/>
              <w:rPr>
                <w:rFonts w:ascii="Times New Roman" w:eastAsia="Times New Roman" w:hAnsi="Times New Roman" w:cs="Times New Roman"/>
                <w:color w:val="3B3836"/>
                <w:sz w:val="24"/>
                <w:szCs w:val="28"/>
                <w:lang w:eastAsia="ru-RU"/>
              </w:rPr>
            </w:pPr>
            <w:r w:rsidRPr="00267850">
              <w:rPr>
                <w:rFonts w:ascii="Times New Roman" w:eastAsia="Times New Roman" w:hAnsi="Times New Roman" w:cs="Times New Roman"/>
                <w:color w:val="3B3836"/>
                <w:sz w:val="24"/>
                <w:szCs w:val="28"/>
                <w:lang w:eastAsia="ru-RU"/>
              </w:rPr>
              <w:t>Итог мероприятия (качественный результат)</w:t>
            </w:r>
          </w:p>
        </w:tc>
      </w:tr>
      <w:tr w:rsidR="00267850" w:rsidRPr="00267850" w:rsidTr="00267850">
        <w:trPr>
          <w:gridAfter w:val="2"/>
          <w:wAfter w:w="238" w:type="dxa"/>
        </w:trPr>
        <w:tc>
          <w:tcPr>
            <w:tcW w:w="4678"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Проведение социологического исследования некоммерческих организаций «Перспективы НКО Марий Эл как поставщиков социальных услуг»</w:t>
            </w:r>
          </w:p>
        </w:tc>
        <w:tc>
          <w:tcPr>
            <w:tcW w:w="52"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009"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с 01.08.2019</w:t>
            </w:r>
            <w:r w:rsidRPr="00267850">
              <w:rPr>
                <w:rFonts w:ascii="Times New Roman" w:eastAsia="Times New Roman" w:hAnsi="Times New Roman" w:cs="Times New Roman"/>
                <w:color w:val="111111"/>
                <w:sz w:val="24"/>
                <w:szCs w:val="28"/>
                <w:lang w:eastAsia="ru-RU"/>
              </w:rPr>
              <w:br/>
              <w:t>по 09.12.2019</w:t>
            </w:r>
          </w:p>
        </w:tc>
        <w:tc>
          <w:tcPr>
            <w:tcW w:w="7594" w:type="dxa"/>
            <w:gridSpan w:val="3"/>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 xml:space="preserve">Проведено социологическое исследование готовности НКО </w:t>
            </w:r>
            <w:proofErr w:type="gramStart"/>
            <w:r w:rsidRPr="00267850">
              <w:rPr>
                <w:rFonts w:ascii="Times New Roman" w:eastAsia="Times New Roman" w:hAnsi="Times New Roman" w:cs="Times New Roman"/>
                <w:color w:val="111111"/>
                <w:sz w:val="24"/>
                <w:szCs w:val="28"/>
                <w:lang w:eastAsia="ru-RU"/>
              </w:rPr>
              <w:t>развиваться и становиться</w:t>
            </w:r>
            <w:proofErr w:type="gramEnd"/>
            <w:r w:rsidRPr="00267850">
              <w:rPr>
                <w:rFonts w:ascii="Times New Roman" w:eastAsia="Times New Roman" w:hAnsi="Times New Roman" w:cs="Times New Roman"/>
                <w:color w:val="111111"/>
                <w:sz w:val="24"/>
                <w:szCs w:val="28"/>
                <w:lang w:eastAsia="ru-RU"/>
              </w:rPr>
              <w:t xml:space="preserve"> поставщиками услуг, на основе результатов которого построена дальнейшая реализация социального проекта. Впервые за последние годы проведено масштабное исследование некоммерческого сектора Марий Эл, участие в котором приняли более половины официально зарегистрированных некоммерческих организаций. Проведенное исследование позволило получить данные о деятельности некоммерческих организаций, перспективах их дальнейшего развития. Результаты социологического исследования открыты, доведены до сведения НКО, направлены в региональные органы власти. Полученные результаты позволят не только более точечно и качественно реализовать социальный проект, но и будут полезны региональным властям в </w:t>
            </w:r>
            <w:proofErr w:type="gramStart"/>
            <w:r w:rsidRPr="00267850">
              <w:rPr>
                <w:rFonts w:ascii="Times New Roman" w:eastAsia="Times New Roman" w:hAnsi="Times New Roman" w:cs="Times New Roman"/>
                <w:color w:val="111111"/>
                <w:sz w:val="24"/>
                <w:szCs w:val="28"/>
                <w:lang w:eastAsia="ru-RU"/>
              </w:rPr>
              <w:t>понимании</w:t>
            </w:r>
            <w:proofErr w:type="gramEnd"/>
            <w:r w:rsidRPr="00267850">
              <w:rPr>
                <w:rFonts w:ascii="Times New Roman" w:eastAsia="Times New Roman" w:hAnsi="Times New Roman" w:cs="Times New Roman"/>
                <w:color w:val="111111"/>
                <w:sz w:val="24"/>
                <w:szCs w:val="28"/>
                <w:lang w:eastAsia="ru-RU"/>
              </w:rPr>
              <w:t xml:space="preserve"> особенностей некоммерческого сектора региона, выстраивании с ними конструктивных взаимоотношений</w:t>
            </w:r>
          </w:p>
        </w:tc>
      </w:tr>
      <w:tr w:rsidR="00267850" w:rsidRPr="00267850" w:rsidTr="00267850">
        <w:trPr>
          <w:trHeight w:val="300"/>
        </w:trPr>
        <w:tc>
          <w:tcPr>
            <w:tcW w:w="14333" w:type="dxa"/>
            <w:gridSpan w:val="6"/>
            <w:tcBorders>
              <w:top w:val="single" w:sz="6" w:space="0" w:color="DDDDDD"/>
              <w:left w:val="single" w:sz="6" w:space="0" w:color="DDDDDD"/>
              <w:bottom w:val="single" w:sz="6" w:space="0" w:color="DDDDDD"/>
              <w:right w:val="single" w:sz="6" w:space="0" w:color="DDDDDD"/>
            </w:tcBorders>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38" w:type="dxa"/>
            <w:gridSpan w:val="2"/>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r w:rsidR="00267850" w:rsidRPr="00267850" w:rsidTr="00267850">
        <w:trPr>
          <w:gridAfter w:val="1"/>
          <w:wAfter w:w="188" w:type="dxa"/>
        </w:trPr>
        <w:tc>
          <w:tcPr>
            <w:tcW w:w="4678"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Круглый стол «НКО как поставщики социальных услуг: реальность и перспективы»</w:t>
            </w:r>
          </w:p>
        </w:tc>
        <w:tc>
          <w:tcPr>
            <w:tcW w:w="52"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569" w:type="dxa"/>
            <w:gridSpan w:val="3"/>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с 19.07.2019</w:t>
            </w:r>
            <w:r w:rsidRPr="00267850">
              <w:rPr>
                <w:rFonts w:ascii="Times New Roman" w:eastAsia="Times New Roman" w:hAnsi="Times New Roman" w:cs="Times New Roman"/>
                <w:color w:val="111111"/>
                <w:sz w:val="24"/>
                <w:szCs w:val="28"/>
                <w:lang w:eastAsia="ru-RU"/>
              </w:rPr>
              <w:br/>
              <w:t>по 30.09.2019</w:t>
            </w:r>
          </w:p>
        </w:tc>
        <w:tc>
          <w:tcPr>
            <w:tcW w:w="7034"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 xml:space="preserve">Проведен "круглый стол", ставший отправной точкой в реализации проекта. Некоммерческие организации и представители органов власти познакомились с мероприятиями социального проекта. Участие в круглом </w:t>
            </w:r>
            <w:proofErr w:type="gramStart"/>
            <w:r w:rsidRPr="00267850">
              <w:rPr>
                <w:rFonts w:ascii="Times New Roman" w:eastAsia="Times New Roman" w:hAnsi="Times New Roman" w:cs="Times New Roman"/>
                <w:color w:val="111111"/>
                <w:sz w:val="24"/>
                <w:szCs w:val="28"/>
                <w:lang w:eastAsia="ru-RU"/>
              </w:rPr>
              <w:t>столе</w:t>
            </w:r>
            <w:proofErr w:type="gramEnd"/>
            <w:r w:rsidRPr="00267850">
              <w:rPr>
                <w:rFonts w:ascii="Times New Roman" w:eastAsia="Times New Roman" w:hAnsi="Times New Roman" w:cs="Times New Roman"/>
                <w:color w:val="111111"/>
                <w:sz w:val="24"/>
                <w:szCs w:val="28"/>
                <w:lang w:eastAsia="ru-RU"/>
              </w:rPr>
              <w:t xml:space="preserve"> приняли как представители некоммерческого сектора республики, так и НКО. Представители органов власти рассказали о </w:t>
            </w:r>
            <w:proofErr w:type="gramStart"/>
            <w:r w:rsidRPr="00267850">
              <w:rPr>
                <w:rFonts w:ascii="Times New Roman" w:eastAsia="Times New Roman" w:hAnsi="Times New Roman" w:cs="Times New Roman"/>
                <w:color w:val="111111"/>
                <w:sz w:val="24"/>
                <w:szCs w:val="28"/>
                <w:lang w:eastAsia="ru-RU"/>
              </w:rPr>
              <w:t>том</w:t>
            </w:r>
            <w:proofErr w:type="gramEnd"/>
            <w:r w:rsidRPr="00267850">
              <w:rPr>
                <w:rFonts w:ascii="Times New Roman" w:eastAsia="Times New Roman" w:hAnsi="Times New Roman" w:cs="Times New Roman"/>
                <w:color w:val="111111"/>
                <w:sz w:val="24"/>
                <w:szCs w:val="28"/>
                <w:lang w:eastAsia="ru-RU"/>
              </w:rPr>
              <w:t xml:space="preserve"> каким образом организована работа по вовлечению НКО в сферу оказания услуг, были рассмотрены плюсы и минусы работы каждого ведомства. Представители общественности поделились своими опасениями и </w:t>
            </w:r>
            <w:proofErr w:type="gramStart"/>
            <w:r w:rsidRPr="00267850">
              <w:rPr>
                <w:rFonts w:ascii="Times New Roman" w:eastAsia="Times New Roman" w:hAnsi="Times New Roman" w:cs="Times New Roman"/>
                <w:color w:val="111111"/>
                <w:sz w:val="24"/>
                <w:szCs w:val="28"/>
                <w:lang w:eastAsia="ru-RU"/>
              </w:rPr>
              <w:t>рассказали</w:t>
            </w:r>
            <w:proofErr w:type="gramEnd"/>
            <w:r w:rsidRPr="00267850">
              <w:rPr>
                <w:rFonts w:ascii="Times New Roman" w:eastAsia="Times New Roman" w:hAnsi="Times New Roman" w:cs="Times New Roman"/>
                <w:color w:val="111111"/>
                <w:sz w:val="24"/>
                <w:szCs w:val="28"/>
                <w:lang w:eastAsia="ru-RU"/>
              </w:rPr>
              <w:t xml:space="preserve"> почему они не охотно идут на рынок социальных услуг. В рамках круглого стола были намечены пути организации взаимодействия. Мероприятия проекта станут в данном </w:t>
            </w:r>
            <w:proofErr w:type="gramStart"/>
            <w:r w:rsidRPr="00267850">
              <w:rPr>
                <w:rFonts w:ascii="Times New Roman" w:eastAsia="Times New Roman" w:hAnsi="Times New Roman" w:cs="Times New Roman"/>
                <w:color w:val="111111"/>
                <w:sz w:val="24"/>
                <w:szCs w:val="28"/>
                <w:lang w:eastAsia="ru-RU"/>
              </w:rPr>
              <w:t>вопросе</w:t>
            </w:r>
            <w:proofErr w:type="gramEnd"/>
            <w:r w:rsidRPr="00267850">
              <w:rPr>
                <w:rFonts w:ascii="Times New Roman" w:eastAsia="Times New Roman" w:hAnsi="Times New Roman" w:cs="Times New Roman"/>
                <w:color w:val="111111"/>
                <w:sz w:val="24"/>
                <w:szCs w:val="28"/>
                <w:lang w:eastAsia="ru-RU"/>
              </w:rPr>
              <w:t xml:space="preserve"> связующим звеном в "выстраивании" отношений НКО и чиновников в рамках взаимоотношений по предоставлению услуг в </w:t>
            </w:r>
            <w:r w:rsidRPr="00267850">
              <w:rPr>
                <w:rFonts w:ascii="Times New Roman" w:eastAsia="Times New Roman" w:hAnsi="Times New Roman" w:cs="Times New Roman"/>
                <w:color w:val="111111"/>
                <w:sz w:val="24"/>
                <w:szCs w:val="28"/>
                <w:lang w:eastAsia="ru-RU"/>
              </w:rPr>
              <w:lastRenderedPageBreak/>
              <w:t>социальной сфере.</w:t>
            </w:r>
          </w:p>
        </w:tc>
        <w:tc>
          <w:tcPr>
            <w:tcW w:w="50" w:type="dxa"/>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r w:rsidR="00267850" w:rsidRPr="00267850" w:rsidTr="00267850">
        <w:trPr>
          <w:trHeight w:val="300"/>
        </w:trPr>
        <w:tc>
          <w:tcPr>
            <w:tcW w:w="14333" w:type="dxa"/>
            <w:gridSpan w:val="6"/>
            <w:tcBorders>
              <w:top w:val="single" w:sz="6" w:space="0" w:color="DDDDDD"/>
              <w:left w:val="single" w:sz="6" w:space="0" w:color="DDDDDD"/>
              <w:bottom w:val="single" w:sz="6" w:space="0" w:color="DDDDDD"/>
              <w:right w:val="single" w:sz="6" w:space="0" w:color="DDDDDD"/>
            </w:tcBorders>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38" w:type="dxa"/>
            <w:gridSpan w:val="2"/>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r w:rsidR="00267850" w:rsidRPr="00267850" w:rsidTr="00267850">
        <w:trPr>
          <w:gridAfter w:val="1"/>
          <w:wAfter w:w="188" w:type="dxa"/>
        </w:trPr>
        <w:tc>
          <w:tcPr>
            <w:tcW w:w="4678"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Методическое пособие «Некоммерческие организации Марий Эл – участники рынка социальных услуг»</w:t>
            </w:r>
          </w:p>
        </w:tc>
        <w:tc>
          <w:tcPr>
            <w:tcW w:w="52"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569" w:type="dxa"/>
            <w:gridSpan w:val="3"/>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с 01.10.2019</w:t>
            </w:r>
            <w:r w:rsidRPr="00267850">
              <w:rPr>
                <w:rFonts w:ascii="Times New Roman" w:eastAsia="Times New Roman" w:hAnsi="Times New Roman" w:cs="Times New Roman"/>
                <w:color w:val="111111"/>
                <w:sz w:val="24"/>
                <w:szCs w:val="28"/>
                <w:lang w:eastAsia="ru-RU"/>
              </w:rPr>
              <w:br/>
              <w:t>по 02.12.2019</w:t>
            </w:r>
          </w:p>
        </w:tc>
        <w:tc>
          <w:tcPr>
            <w:tcW w:w="7034"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 xml:space="preserve">Командой проекта разработано методическое пособие - памятка как стать поставщиками социальных услуг («Некоммерческие организации Марий Эл – участники рынка социальных услуг»). Методическое пособие </w:t>
            </w:r>
            <w:proofErr w:type="gramStart"/>
            <w:r w:rsidRPr="00267850">
              <w:rPr>
                <w:rFonts w:ascii="Times New Roman" w:eastAsia="Times New Roman" w:hAnsi="Times New Roman" w:cs="Times New Roman"/>
                <w:color w:val="111111"/>
                <w:sz w:val="24"/>
                <w:szCs w:val="28"/>
                <w:lang w:eastAsia="ru-RU"/>
              </w:rPr>
              <w:t>растиражировано и распространено</w:t>
            </w:r>
            <w:proofErr w:type="gramEnd"/>
            <w:r w:rsidRPr="00267850">
              <w:rPr>
                <w:rFonts w:ascii="Times New Roman" w:eastAsia="Times New Roman" w:hAnsi="Times New Roman" w:cs="Times New Roman"/>
                <w:color w:val="111111"/>
                <w:sz w:val="24"/>
                <w:szCs w:val="28"/>
                <w:lang w:eastAsia="ru-RU"/>
              </w:rPr>
              <w:t xml:space="preserve"> среди некоммерческих организаций республики, в том числе при проведении обучающих мероприятий, также передано в региональные органы власти для дальнейшего использования в работе с НКО, планирующими становиться поставщиками услуг. Кроме того, методическое пособие в электронном </w:t>
            </w:r>
            <w:proofErr w:type="gramStart"/>
            <w:r w:rsidRPr="00267850">
              <w:rPr>
                <w:rFonts w:ascii="Times New Roman" w:eastAsia="Times New Roman" w:hAnsi="Times New Roman" w:cs="Times New Roman"/>
                <w:color w:val="111111"/>
                <w:sz w:val="24"/>
                <w:szCs w:val="28"/>
                <w:lang w:eastAsia="ru-RU"/>
              </w:rPr>
              <w:t>виде</w:t>
            </w:r>
            <w:proofErr w:type="gramEnd"/>
            <w:r w:rsidRPr="00267850">
              <w:rPr>
                <w:rFonts w:ascii="Times New Roman" w:eastAsia="Times New Roman" w:hAnsi="Times New Roman" w:cs="Times New Roman"/>
                <w:color w:val="111111"/>
                <w:sz w:val="24"/>
                <w:szCs w:val="28"/>
                <w:lang w:eastAsia="ru-RU"/>
              </w:rPr>
              <w:t xml:space="preserve"> размещено на сайте РБОО "Добрая Республика Марий Эл", в социальных сетях НКО, сайтах для НКО Марий Эл. Электронная версия методического пособия разослана по базе электронных адресов региональных НКО. Ввиду большой заинтересованности НКО возможностью участия в оказании социальных услуг, а также большом информационном "голоде" НКО в теме социального проекта, принято решение о разработке иных буклетов, информационных материалов по вопросам оказания социальных услуг в качестве негосударственных поставщиков. В настоящее время определяется формат и наполнение данных информационных материалов. Реализацию мероприятия планируется продолжить во втором этапа реализации проекта</w:t>
            </w:r>
          </w:p>
        </w:tc>
        <w:tc>
          <w:tcPr>
            <w:tcW w:w="50" w:type="dxa"/>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r w:rsidR="00267850" w:rsidRPr="00267850" w:rsidTr="00267850">
        <w:trPr>
          <w:trHeight w:val="300"/>
        </w:trPr>
        <w:tc>
          <w:tcPr>
            <w:tcW w:w="14333" w:type="dxa"/>
            <w:gridSpan w:val="6"/>
            <w:tcBorders>
              <w:top w:val="single" w:sz="6" w:space="0" w:color="DDDDDD"/>
              <w:left w:val="single" w:sz="6" w:space="0" w:color="DDDDDD"/>
              <w:bottom w:val="single" w:sz="6" w:space="0" w:color="DDDDDD"/>
              <w:right w:val="single" w:sz="6" w:space="0" w:color="DDDDDD"/>
            </w:tcBorders>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38" w:type="dxa"/>
            <w:gridSpan w:val="2"/>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r w:rsidR="00267850" w:rsidRPr="00267850" w:rsidTr="00267850">
        <w:trPr>
          <w:gridAfter w:val="1"/>
          <w:wAfter w:w="188" w:type="dxa"/>
        </w:trPr>
        <w:tc>
          <w:tcPr>
            <w:tcW w:w="4678"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Серия обучающих семинаров для повышения квалификации для представителей НКО Марий Эл «Поставщики социальных услуг, их права и возможности в связи с новыми требованиями законодательства»</w:t>
            </w:r>
          </w:p>
        </w:tc>
        <w:tc>
          <w:tcPr>
            <w:tcW w:w="52"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569" w:type="dxa"/>
            <w:gridSpan w:val="3"/>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с 01.10.2019</w:t>
            </w:r>
            <w:r w:rsidRPr="00267850">
              <w:rPr>
                <w:rFonts w:ascii="Times New Roman" w:eastAsia="Times New Roman" w:hAnsi="Times New Roman" w:cs="Times New Roman"/>
                <w:color w:val="111111"/>
                <w:sz w:val="24"/>
                <w:szCs w:val="28"/>
                <w:lang w:eastAsia="ru-RU"/>
              </w:rPr>
              <w:br/>
              <w:t>по 31.12.2019</w:t>
            </w:r>
          </w:p>
        </w:tc>
        <w:tc>
          <w:tcPr>
            <w:tcW w:w="7034"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 xml:space="preserve">В 2019 г. проведена серия обучающих семинаров для повышения квалификации представителей НКО Марий Эл «Поставщики социальных услуг, их права и возможности в связи с новыми требованиями законодательства». На семинарах подробно рассматривались вопросы оказания услуг в различных отраслях, даны понятия услуги, рассмотрены виды данных услуг, </w:t>
            </w:r>
            <w:r w:rsidRPr="00267850">
              <w:rPr>
                <w:rFonts w:ascii="Times New Roman" w:eastAsia="Times New Roman" w:hAnsi="Times New Roman" w:cs="Times New Roman"/>
                <w:color w:val="111111"/>
                <w:sz w:val="24"/>
                <w:szCs w:val="28"/>
                <w:lang w:eastAsia="ru-RU"/>
              </w:rPr>
              <w:lastRenderedPageBreak/>
              <w:t xml:space="preserve">представлен алгоритм деятельности организации, планирующей стать поставщиков услуг, </w:t>
            </w:r>
            <w:proofErr w:type="gramStart"/>
            <w:r w:rsidRPr="00267850">
              <w:rPr>
                <w:rFonts w:ascii="Times New Roman" w:eastAsia="Times New Roman" w:hAnsi="Times New Roman" w:cs="Times New Roman"/>
                <w:color w:val="111111"/>
                <w:sz w:val="24"/>
                <w:szCs w:val="28"/>
                <w:lang w:eastAsia="ru-RU"/>
              </w:rPr>
              <w:t>обобщены и представлены</w:t>
            </w:r>
            <w:proofErr w:type="gramEnd"/>
            <w:r w:rsidRPr="00267850">
              <w:rPr>
                <w:rFonts w:ascii="Times New Roman" w:eastAsia="Times New Roman" w:hAnsi="Times New Roman" w:cs="Times New Roman"/>
                <w:color w:val="111111"/>
                <w:sz w:val="24"/>
                <w:szCs w:val="28"/>
                <w:lang w:eastAsia="ru-RU"/>
              </w:rPr>
              <w:t xml:space="preserve"> требования к поставщикам услуг. НКО на конкретных примерах в рамках </w:t>
            </w:r>
            <w:proofErr w:type="spellStart"/>
            <w:r w:rsidRPr="00267850">
              <w:rPr>
                <w:rFonts w:ascii="Times New Roman" w:eastAsia="Times New Roman" w:hAnsi="Times New Roman" w:cs="Times New Roman"/>
                <w:color w:val="111111"/>
                <w:sz w:val="24"/>
                <w:szCs w:val="28"/>
                <w:lang w:eastAsia="ru-RU"/>
              </w:rPr>
              <w:t>тренинговых</w:t>
            </w:r>
            <w:proofErr w:type="spellEnd"/>
            <w:r w:rsidRPr="00267850">
              <w:rPr>
                <w:rFonts w:ascii="Times New Roman" w:eastAsia="Times New Roman" w:hAnsi="Times New Roman" w:cs="Times New Roman"/>
                <w:color w:val="111111"/>
                <w:sz w:val="24"/>
                <w:szCs w:val="28"/>
                <w:lang w:eastAsia="ru-RU"/>
              </w:rPr>
              <w:t xml:space="preserve"> занятий и деловых игр "проиграли" процесс становления поставщиком услуг, "проработали" механизм взаимодействия с заказчиком услуг - органом власти, обучились технологиям поиска и привлечения потенциальных получателей услуг. В рамках реализации социального проекта семинары проводились как самостоятельные мероприятия, а также в рамках иных мероприятий, проводимых в республике для НКО. Семинары были распределены по тематике и направлениям деятельности НКО, что позволило более конкретно изучить особенности оказания социальных услуг в различных сферах.</w:t>
            </w:r>
          </w:p>
        </w:tc>
        <w:tc>
          <w:tcPr>
            <w:tcW w:w="50" w:type="dxa"/>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r w:rsidR="00267850" w:rsidRPr="00267850" w:rsidTr="00267850">
        <w:trPr>
          <w:trHeight w:val="300"/>
        </w:trPr>
        <w:tc>
          <w:tcPr>
            <w:tcW w:w="14333" w:type="dxa"/>
            <w:gridSpan w:val="6"/>
            <w:tcBorders>
              <w:top w:val="single" w:sz="6" w:space="0" w:color="DDDDDD"/>
              <w:left w:val="single" w:sz="6" w:space="0" w:color="DDDDDD"/>
              <w:bottom w:val="single" w:sz="6" w:space="0" w:color="DDDDDD"/>
              <w:right w:val="single" w:sz="6" w:space="0" w:color="DDDDDD"/>
            </w:tcBorders>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38" w:type="dxa"/>
            <w:gridSpan w:val="2"/>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r w:rsidR="00267850" w:rsidRPr="00267850" w:rsidTr="00267850">
        <w:trPr>
          <w:gridAfter w:val="1"/>
          <w:wAfter w:w="188" w:type="dxa"/>
        </w:trPr>
        <w:tc>
          <w:tcPr>
            <w:tcW w:w="4678"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Серия обучающих семинаров для представителей республиканских министерств «социального блока» «Вопросы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w:t>
            </w:r>
          </w:p>
        </w:tc>
        <w:tc>
          <w:tcPr>
            <w:tcW w:w="52"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569" w:type="dxa"/>
            <w:gridSpan w:val="3"/>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с 01.10.2019</w:t>
            </w:r>
            <w:r w:rsidRPr="00267850">
              <w:rPr>
                <w:rFonts w:ascii="Times New Roman" w:eastAsia="Times New Roman" w:hAnsi="Times New Roman" w:cs="Times New Roman"/>
                <w:color w:val="111111"/>
                <w:sz w:val="24"/>
                <w:szCs w:val="28"/>
                <w:lang w:eastAsia="ru-RU"/>
              </w:rPr>
              <w:br/>
              <w:t>по 31.12.2019</w:t>
            </w:r>
          </w:p>
        </w:tc>
        <w:tc>
          <w:tcPr>
            <w:tcW w:w="7034"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 xml:space="preserve">В 2019 г. </w:t>
            </w:r>
            <w:proofErr w:type="gramStart"/>
            <w:r w:rsidRPr="00267850">
              <w:rPr>
                <w:rFonts w:ascii="Times New Roman" w:eastAsia="Times New Roman" w:hAnsi="Times New Roman" w:cs="Times New Roman"/>
                <w:color w:val="111111"/>
                <w:sz w:val="24"/>
                <w:szCs w:val="28"/>
                <w:lang w:eastAsia="ru-RU"/>
              </w:rPr>
              <w:t>организована и проведена</w:t>
            </w:r>
            <w:proofErr w:type="gramEnd"/>
            <w:r w:rsidRPr="00267850">
              <w:rPr>
                <w:rFonts w:ascii="Times New Roman" w:eastAsia="Times New Roman" w:hAnsi="Times New Roman" w:cs="Times New Roman"/>
                <w:color w:val="111111"/>
                <w:sz w:val="24"/>
                <w:szCs w:val="28"/>
                <w:lang w:eastAsia="ru-RU"/>
              </w:rPr>
              <w:t xml:space="preserve"> серия обучающих семинаров для представителей органов власти. Представители региональных органов власти и органов местного самоуправления познакомились с деятельностью некоммерческих организаций, получили новые знания в области поддержки НКО, изучили механизмы эффективного взаимодействия с НКО, повысили свои знания в области вовлечения НКО в сферу оказания социальных услуг. В рамках реализации социального проекта семинары проводились как самостоятельные мероприятия, а также в рамках иных мероприятий, проводимых в республике для органов исполнительной власти (в рамках повышения квалификации государственных гражданских служащих и Форума некоммерческих организаций). Кроме того, в </w:t>
            </w:r>
            <w:proofErr w:type="gramStart"/>
            <w:r w:rsidRPr="00267850">
              <w:rPr>
                <w:rFonts w:ascii="Times New Roman" w:eastAsia="Times New Roman" w:hAnsi="Times New Roman" w:cs="Times New Roman"/>
                <w:color w:val="111111"/>
                <w:sz w:val="24"/>
                <w:szCs w:val="28"/>
                <w:lang w:eastAsia="ru-RU"/>
              </w:rPr>
              <w:t>рамках</w:t>
            </w:r>
            <w:proofErr w:type="gramEnd"/>
            <w:r w:rsidRPr="00267850">
              <w:rPr>
                <w:rFonts w:ascii="Times New Roman" w:eastAsia="Times New Roman" w:hAnsi="Times New Roman" w:cs="Times New Roman"/>
                <w:color w:val="111111"/>
                <w:sz w:val="24"/>
                <w:szCs w:val="28"/>
                <w:lang w:eastAsia="ru-RU"/>
              </w:rPr>
              <w:t xml:space="preserve"> проекта был организован выездной семинар в </w:t>
            </w:r>
            <w:proofErr w:type="spellStart"/>
            <w:r w:rsidRPr="00267850">
              <w:rPr>
                <w:rFonts w:ascii="Times New Roman" w:eastAsia="Times New Roman" w:hAnsi="Times New Roman" w:cs="Times New Roman"/>
                <w:color w:val="111111"/>
                <w:sz w:val="24"/>
                <w:szCs w:val="28"/>
                <w:lang w:eastAsia="ru-RU"/>
              </w:rPr>
              <w:t>Юринский</w:t>
            </w:r>
            <w:proofErr w:type="spellEnd"/>
            <w:r w:rsidRPr="00267850">
              <w:rPr>
                <w:rFonts w:ascii="Times New Roman" w:eastAsia="Times New Roman" w:hAnsi="Times New Roman" w:cs="Times New Roman"/>
                <w:color w:val="111111"/>
                <w:sz w:val="24"/>
                <w:szCs w:val="28"/>
                <w:lang w:eastAsia="ru-RU"/>
              </w:rPr>
              <w:t xml:space="preserve"> район для муниципальных служащих (место проведения было выбрано в связи с тем, что </w:t>
            </w:r>
            <w:proofErr w:type="spellStart"/>
            <w:r w:rsidRPr="00267850">
              <w:rPr>
                <w:rFonts w:ascii="Times New Roman" w:eastAsia="Times New Roman" w:hAnsi="Times New Roman" w:cs="Times New Roman"/>
                <w:color w:val="111111"/>
                <w:sz w:val="24"/>
                <w:szCs w:val="28"/>
                <w:lang w:eastAsia="ru-RU"/>
              </w:rPr>
              <w:t>Юринский</w:t>
            </w:r>
            <w:proofErr w:type="spellEnd"/>
            <w:r w:rsidRPr="00267850">
              <w:rPr>
                <w:rFonts w:ascii="Times New Roman" w:eastAsia="Times New Roman" w:hAnsi="Times New Roman" w:cs="Times New Roman"/>
                <w:color w:val="111111"/>
                <w:sz w:val="24"/>
                <w:szCs w:val="28"/>
                <w:lang w:eastAsia="ru-RU"/>
              </w:rPr>
              <w:t xml:space="preserve"> район – самый отдаленный от г. Йошкар-Олы район республики)</w:t>
            </w:r>
          </w:p>
        </w:tc>
        <w:tc>
          <w:tcPr>
            <w:tcW w:w="50" w:type="dxa"/>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r w:rsidR="00267850" w:rsidRPr="00267850" w:rsidTr="00267850">
        <w:trPr>
          <w:trHeight w:val="300"/>
        </w:trPr>
        <w:tc>
          <w:tcPr>
            <w:tcW w:w="14333" w:type="dxa"/>
            <w:gridSpan w:val="6"/>
            <w:tcBorders>
              <w:top w:val="single" w:sz="6" w:space="0" w:color="DDDDDD"/>
              <w:left w:val="single" w:sz="6" w:space="0" w:color="DDDDDD"/>
              <w:bottom w:val="single" w:sz="6" w:space="0" w:color="DDDDDD"/>
              <w:right w:val="single" w:sz="6" w:space="0" w:color="DDDDDD"/>
            </w:tcBorders>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38" w:type="dxa"/>
            <w:gridSpan w:val="2"/>
            <w:shd w:val="clear" w:color="auto" w:fill="FAEBD7"/>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r w:rsidR="00267850" w:rsidRPr="00267850" w:rsidTr="00267850">
        <w:trPr>
          <w:gridAfter w:val="1"/>
          <w:wAfter w:w="188" w:type="dxa"/>
        </w:trPr>
        <w:tc>
          <w:tcPr>
            <w:tcW w:w="4678"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Запуск раздела «Социальные услуги НКО» на сайте РБОО «Добрая Республика Марий Эл» и на сайте СО НКО Марий Эл</w:t>
            </w:r>
          </w:p>
        </w:tc>
        <w:tc>
          <w:tcPr>
            <w:tcW w:w="52"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p>
        </w:tc>
        <w:tc>
          <w:tcPr>
            <w:tcW w:w="2089" w:type="dxa"/>
            <w:gridSpan w:val="2"/>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с 01.07.2019</w:t>
            </w:r>
            <w:r w:rsidRPr="00267850">
              <w:rPr>
                <w:rFonts w:ascii="Times New Roman" w:eastAsia="Times New Roman" w:hAnsi="Times New Roman" w:cs="Times New Roman"/>
                <w:color w:val="111111"/>
                <w:sz w:val="24"/>
                <w:szCs w:val="28"/>
                <w:lang w:eastAsia="ru-RU"/>
              </w:rPr>
              <w:br/>
              <w:t>по 30.06.2020</w:t>
            </w:r>
          </w:p>
        </w:tc>
        <w:tc>
          <w:tcPr>
            <w:tcW w:w="7514" w:type="dxa"/>
            <w:gridSpan w:val="2"/>
            <w:tcBorders>
              <w:top w:val="single" w:sz="6" w:space="0" w:color="DDDDDD"/>
              <w:left w:val="single" w:sz="6" w:space="0" w:color="DDDDDD"/>
              <w:bottom w:val="single" w:sz="6" w:space="0" w:color="DDDDDD"/>
              <w:right w:val="single" w:sz="6" w:space="0" w:color="DDDDDD"/>
            </w:tcBorders>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color w:val="111111"/>
                <w:sz w:val="24"/>
                <w:szCs w:val="28"/>
                <w:lang w:eastAsia="ru-RU"/>
              </w:rPr>
            </w:pPr>
            <w:r w:rsidRPr="00267850">
              <w:rPr>
                <w:rFonts w:ascii="Times New Roman" w:eastAsia="Times New Roman" w:hAnsi="Times New Roman" w:cs="Times New Roman"/>
                <w:color w:val="111111"/>
                <w:sz w:val="24"/>
                <w:szCs w:val="28"/>
                <w:lang w:eastAsia="ru-RU"/>
              </w:rPr>
              <w:t xml:space="preserve">На официальном сайте РБОО «Добрая Республика Марий Эл» создан специализированный раздел о предоставлении НКО социальных услуг, на котором собрана в одном месте, </w:t>
            </w:r>
            <w:proofErr w:type="gramStart"/>
            <w:r w:rsidRPr="00267850">
              <w:rPr>
                <w:rFonts w:ascii="Times New Roman" w:eastAsia="Times New Roman" w:hAnsi="Times New Roman" w:cs="Times New Roman"/>
                <w:color w:val="111111"/>
                <w:sz w:val="24"/>
                <w:szCs w:val="28"/>
                <w:lang w:eastAsia="ru-RU"/>
              </w:rPr>
              <w:t>размещена и поддерживается</w:t>
            </w:r>
            <w:proofErr w:type="gramEnd"/>
            <w:r w:rsidRPr="00267850">
              <w:rPr>
                <w:rFonts w:ascii="Times New Roman" w:eastAsia="Times New Roman" w:hAnsi="Times New Roman" w:cs="Times New Roman"/>
                <w:color w:val="111111"/>
                <w:sz w:val="24"/>
                <w:szCs w:val="28"/>
                <w:lang w:eastAsia="ru-RU"/>
              </w:rPr>
              <w:t xml:space="preserve"> в актуальном состоянии полезная информация как для НКО, уже являющихся поставщиками услуг, так и только планирующими ими стать. Наличие данного раздела упрощает поиск информации для региональных НКО, когда уже не требуется поиска информации в различных информационных базах.</w:t>
            </w:r>
          </w:p>
        </w:tc>
        <w:tc>
          <w:tcPr>
            <w:tcW w:w="50" w:type="dxa"/>
            <w:shd w:val="clear" w:color="auto" w:fill="auto"/>
            <w:vAlign w:val="center"/>
            <w:hideMark/>
          </w:tcPr>
          <w:p w:rsidR="00267850" w:rsidRPr="00267850" w:rsidRDefault="00267850" w:rsidP="00267850">
            <w:pPr>
              <w:spacing w:after="0" w:line="240" w:lineRule="auto"/>
              <w:rPr>
                <w:rFonts w:ascii="Times New Roman" w:eastAsia="Times New Roman" w:hAnsi="Times New Roman" w:cs="Times New Roman"/>
                <w:sz w:val="24"/>
                <w:szCs w:val="28"/>
                <w:lang w:eastAsia="ru-RU"/>
              </w:rPr>
            </w:pPr>
          </w:p>
        </w:tc>
      </w:tr>
    </w:tbl>
    <w:p w:rsidR="00267850" w:rsidRPr="00267850" w:rsidRDefault="00267850" w:rsidP="00267850">
      <w:pPr>
        <w:spacing w:after="0" w:line="240" w:lineRule="auto"/>
        <w:ind w:firstLine="709"/>
        <w:jc w:val="both"/>
        <w:rPr>
          <w:rFonts w:ascii="Times New Roman" w:hAnsi="Times New Roman" w:cs="Times New Roman"/>
          <w:sz w:val="24"/>
          <w:szCs w:val="28"/>
        </w:rPr>
      </w:pPr>
    </w:p>
    <w:p w:rsidR="00267850" w:rsidRPr="00267850" w:rsidRDefault="00267850" w:rsidP="00267850">
      <w:pPr>
        <w:spacing w:after="0" w:line="240" w:lineRule="auto"/>
        <w:ind w:firstLine="709"/>
        <w:jc w:val="both"/>
        <w:rPr>
          <w:rFonts w:ascii="Times New Roman" w:hAnsi="Times New Roman" w:cs="Times New Roman"/>
          <w:sz w:val="24"/>
          <w:szCs w:val="28"/>
        </w:rPr>
      </w:pPr>
    </w:p>
    <w:p w:rsidR="00267850" w:rsidRPr="00267850" w:rsidRDefault="00267850" w:rsidP="00267850">
      <w:pPr>
        <w:spacing w:after="0" w:line="240" w:lineRule="auto"/>
        <w:ind w:firstLine="709"/>
        <w:jc w:val="both"/>
        <w:rPr>
          <w:rFonts w:ascii="Times New Roman" w:hAnsi="Times New Roman" w:cs="Times New Roman"/>
          <w:sz w:val="28"/>
          <w:szCs w:val="28"/>
        </w:rPr>
      </w:pPr>
    </w:p>
    <w:sectPr w:rsidR="00267850" w:rsidRPr="00267850" w:rsidSect="0026785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50"/>
    <w:rsid w:val="00267850"/>
    <w:rsid w:val="005A0AEC"/>
    <w:rsid w:val="006D04E7"/>
    <w:rsid w:val="00DC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dc:creator>
  <cp:lastModifiedBy>Сафронова</cp:lastModifiedBy>
  <cp:revision>1</cp:revision>
  <dcterms:created xsi:type="dcterms:W3CDTF">2020-01-20T09:03:00Z</dcterms:created>
  <dcterms:modified xsi:type="dcterms:W3CDTF">2020-01-20T09:19:00Z</dcterms:modified>
</cp:coreProperties>
</file>